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64CA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方正仿宋_GBK" w:hAnsi="方正仿宋_GBK" w:eastAsia="方正仿宋_GBK" w:cs="方正仿宋_GBK"/>
          <w:b/>
          <w:bCs/>
          <w:kern w:val="44"/>
          <w:sz w:val="28"/>
          <w:szCs w:val="28"/>
          <w:lang w:val="en-US" w:eastAsia="zh-CN" w:bidi="ar"/>
        </w:rPr>
      </w:pPr>
      <w:bookmarkStart w:id="0" w:name="_GoBack"/>
      <w:r>
        <w:rPr>
          <w:rFonts w:hint="eastAsia" w:ascii="方正仿宋_GBK" w:hAnsi="方正仿宋_GBK" w:eastAsia="方正仿宋_GBK" w:cs="方正仿宋_GBK"/>
          <w:b/>
          <w:bCs/>
          <w:kern w:val="44"/>
          <w:sz w:val="28"/>
          <w:szCs w:val="28"/>
          <w:lang w:val="en-US" w:eastAsia="zh-CN" w:bidi="ar"/>
        </w:rPr>
        <w:t>《求是》2026年第4期发表习近平总书记重要文章——当前经济工作的重点任务</w:t>
      </w:r>
    </w:p>
    <w:bookmarkEnd w:id="0"/>
    <w:p w14:paraId="3FA2EE39">
      <w:pPr>
        <w:pStyle w:val="2"/>
        <w:keepNext w:val="0"/>
        <w:keepLines w:val="0"/>
        <w:widowControl/>
        <w:suppressLineNumbers w:val="0"/>
        <w:shd w:val="clear" w:fill="FFFFFF"/>
        <w:spacing w:before="420" w:beforeAutospacing="0" w:after="420" w:afterAutospacing="0" w:line="30" w:lineRule="atLeast"/>
        <w:ind w:left="150" w:right="150" w:firstLine="560" w:firstLineChars="200"/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  <w:t>2026年经济工作头绪多，要抓住关键、纲举目张。</w:t>
      </w:r>
    </w:p>
    <w:p w14:paraId="11B291EB">
      <w:pPr>
        <w:pStyle w:val="2"/>
        <w:keepNext w:val="0"/>
        <w:keepLines w:val="0"/>
        <w:widowControl/>
        <w:suppressLineNumbers w:val="0"/>
        <w:shd w:val="clear" w:fill="FFFFFF"/>
        <w:spacing w:before="420" w:beforeAutospacing="0" w:after="420" w:afterAutospacing="0" w:line="30" w:lineRule="atLeast"/>
        <w:ind w:left="150" w:right="150" w:firstLine="0"/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  <w:t>  </w:t>
      </w:r>
      <w:r>
        <w:rPr>
          <w:rStyle w:val="5"/>
          <w:rFonts w:hint="eastAsia" w:ascii="方正仿宋_GBK" w:hAnsi="方正仿宋_GBK" w:eastAsia="方正仿宋_GBK" w:cs="方正仿宋_GBK"/>
          <w:b/>
          <w:bCs/>
          <w:caps w:val="0"/>
          <w:color w:val="2B2B2B"/>
          <w:spacing w:val="0"/>
          <w:sz w:val="28"/>
          <w:szCs w:val="28"/>
          <w:shd w:val="clear" w:fill="FFFFFF"/>
        </w:rPr>
        <w:t>（一）坚持内需主导，建设强大国内市场。</w:t>
      </w:r>
      <w:r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  <w:t>统筹促消费和扩投资，用好我国超大规模市场优势。深入实施提振消费专项行动，制定实施城乡居民增收计划，继续提高城乡居民基础养老金。适应消费结构变化，扩大优质商品和服务供给。优化“两新”政策实施，给予地方更多自主空间。清理消费领域不合理限制措施，释放文旅、赛事、餐饮、康养等服务消费潜力。落实职工带薪错峰休假制度。优化入境消费环境，打造“购在中国”品牌。</w:t>
      </w:r>
    </w:p>
    <w:p w14:paraId="32B6D399">
      <w:pPr>
        <w:pStyle w:val="2"/>
        <w:keepNext w:val="0"/>
        <w:keepLines w:val="0"/>
        <w:widowControl/>
        <w:suppressLineNumbers w:val="0"/>
        <w:shd w:val="clear" w:fill="FFFFFF"/>
        <w:spacing w:before="420" w:beforeAutospacing="0" w:after="420" w:afterAutospacing="0" w:line="30" w:lineRule="atLeast"/>
        <w:ind w:left="150" w:right="150" w:firstLine="0"/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  <w:t>  要着眼惠民生增后劲，推动投资止跌回稳。适当增加中央预算内投资规模，优化实施“两重”项目，提高中央投资补助标准。优化地方政府专项债券用途管理，提高用于项目建设比重并单列，继续发挥新型政策性金融工具作用，有效带动各类投资增长。探索编制全口径政府投资计划，提高民生类投资比重。坚持城市内涵式发展，建立可持续投融资模式，高质量推进城市更新。落实促进民间投资的政策措施，有效激发民间投资活力。</w:t>
      </w:r>
    </w:p>
    <w:p w14:paraId="27CF6A57">
      <w:pPr>
        <w:pStyle w:val="2"/>
        <w:keepNext w:val="0"/>
        <w:keepLines w:val="0"/>
        <w:widowControl/>
        <w:suppressLineNumbers w:val="0"/>
        <w:shd w:val="clear" w:fill="FFFFFF"/>
        <w:spacing w:before="420" w:beforeAutospacing="0" w:after="420" w:afterAutospacing="0" w:line="30" w:lineRule="atLeast"/>
        <w:ind w:left="150" w:right="150" w:firstLine="0"/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  <w:t>  </w:t>
      </w:r>
      <w:r>
        <w:rPr>
          <w:rStyle w:val="5"/>
          <w:rFonts w:hint="eastAsia" w:ascii="方正仿宋_GBK" w:hAnsi="方正仿宋_GBK" w:eastAsia="方正仿宋_GBK" w:cs="方正仿宋_GBK"/>
          <w:b/>
          <w:bCs/>
          <w:caps w:val="0"/>
          <w:color w:val="2B2B2B"/>
          <w:spacing w:val="0"/>
          <w:sz w:val="28"/>
          <w:szCs w:val="28"/>
          <w:shd w:val="clear" w:fill="FFFFFF"/>
        </w:rPr>
        <w:t>（二）坚持创新驱动，加紧培育壮大新动能。</w:t>
      </w:r>
      <w:r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  <w:t>坚持以科技创新引领产业升级，不断催生新质生产力。制定一体推进教育科技人才发展方案。加大对基础研究的长期稳定支持力度，强化科技基础条件自主保障和战略前沿领域布局，努力产出更多原创性成果。建设北京（京津冀）、上海（长三角）、粤港澳大湾区国际科技创新中心，打造世界级科技创新策源地。强化企业创新主体地位，支持扩大新技术新产品新场景应用示范，加强中试验证平台建设，完善新兴领域知识产权保护制度，加快科技成果转化。制定服务业扩能提质行动方案。实施新一轮重点产业链高质量发展行动，推动传统产业改造升级，打造集成电路、航空航天、生物医药等新兴支柱产业，培育发展未来能源、具身智能等产业。深化拓展“人工智能+”，完善人工智能治理。创新科技金融服务，壮大领军创业投资机构和科技领军企业。</w:t>
      </w:r>
    </w:p>
    <w:p w14:paraId="6D6CB35C">
      <w:pPr>
        <w:pStyle w:val="2"/>
        <w:keepNext w:val="0"/>
        <w:keepLines w:val="0"/>
        <w:widowControl/>
        <w:suppressLineNumbers w:val="0"/>
        <w:shd w:val="clear" w:fill="FFFFFF"/>
        <w:spacing w:before="420" w:beforeAutospacing="0" w:after="420" w:afterAutospacing="0" w:line="30" w:lineRule="atLeast"/>
        <w:ind w:left="150" w:right="150" w:firstLine="0"/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  <w:t>  </w:t>
      </w:r>
      <w:r>
        <w:rPr>
          <w:rStyle w:val="5"/>
          <w:rFonts w:hint="eastAsia" w:ascii="方正仿宋_GBK" w:hAnsi="方正仿宋_GBK" w:eastAsia="方正仿宋_GBK" w:cs="方正仿宋_GBK"/>
          <w:b/>
          <w:bCs/>
          <w:caps w:val="0"/>
          <w:color w:val="2B2B2B"/>
          <w:spacing w:val="0"/>
          <w:sz w:val="28"/>
          <w:szCs w:val="28"/>
          <w:shd w:val="clear" w:fill="FFFFFF"/>
        </w:rPr>
        <w:t>（三）坚持改革攻坚，增强高质量发展动力活力。</w:t>
      </w:r>
      <w:r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  <w:t>制定全国统一大市场建设条例，出台地方政府招商引资鼓励和禁止事项清单，综合运用产能调控、标准引领、价格执法、质量监管和反垄断、反不正当竞争等手段，深入整治“内卷式”竞争，营造良好市场生态。积极推进闲置低效存量资源资产盘活利用。制定和实施进一步深化国资国企改革方案，完善民营经济促进法配套法规政策，推动中小企业专精特新发展。大力弘扬企业家精神，促进年轻一代企业家健康成长。加紧清理拖欠企业账款。推动平台企业和平台内经营者、劳动者共赢发展。拓展要素市场化改革试点，深化电力体制改革，稳步推进供水、供气、供热等公用事业价格改革，促进可持续经营。深化零基预算改革，提高国有资本收益收取比例。优化财政转移支付结构，健全地方税体系。规范商业银行竞争秩序，深入推进中小金融机构减量提质。持续深化资本市场投融资综合改革，提高直接融资、股权融资比重。</w:t>
      </w:r>
    </w:p>
    <w:p w14:paraId="284502EF">
      <w:pPr>
        <w:pStyle w:val="2"/>
        <w:keepNext w:val="0"/>
        <w:keepLines w:val="0"/>
        <w:widowControl/>
        <w:suppressLineNumbers w:val="0"/>
        <w:shd w:val="clear" w:fill="FFFFFF"/>
        <w:spacing w:before="420" w:beforeAutospacing="0" w:after="420" w:afterAutospacing="0" w:line="30" w:lineRule="atLeast"/>
        <w:ind w:left="150" w:right="150" w:firstLine="0"/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  <w:t>  </w:t>
      </w:r>
      <w:r>
        <w:rPr>
          <w:rStyle w:val="5"/>
          <w:rFonts w:hint="eastAsia" w:ascii="方正仿宋_GBK" w:hAnsi="方正仿宋_GBK" w:eastAsia="方正仿宋_GBK" w:cs="方正仿宋_GBK"/>
          <w:b/>
          <w:bCs/>
          <w:caps w:val="0"/>
          <w:color w:val="2B2B2B"/>
          <w:spacing w:val="0"/>
          <w:sz w:val="28"/>
          <w:szCs w:val="28"/>
          <w:shd w:val="clear" w:fill="FFFFFF"/>
        </w:rPr>
        <w:t>（四）坚持对外开放，推动多领域合作共赢。</w:t>
      </w:r>
      <w:r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  <w:t>国际经贸格局正在重塑，要以开放增进合作、畅通国内国际双循环。稳步推进制度型开放，有序扩大服务领域自主开放，优化自由贸易试验区布局范围、提升创新引领发展能级，扎实推进海南自由贸易港建设。推进贸易投资一体化、内外贸一体化发展，推动跨境电商加海外仓模式扩容升级。鼓励支持服务出口，积极发展数字贸易、绿色贸易。深化外商投资促进体制机制改革，促进外资境内再投资、扩大本地化生产。引导产业链供应链合理有序跨境布局。完善海外综合服务体系。抓住全球南方国家现代化进程中的合作机遇，推动共建“一带一路”高质量发展。推动商签更多区域和双边贸易投资协定，落实对非洲建交国实施零关税等开放措施。有序清理规范各类开发区、园区和展会论坛。</w:t>
      </w:r>
    </w:p>
    <w:p w14:paraId="704A5822">
      <w:pPr>
        <w:pStyle w:val="2"/>
        <w:keepNext w:val="0"/>
        <w:keepLines w:val="0"/>
        <w:widowControl/>
        <w:suppressLineNumbers w:val="0"/>
        <w:shd w:val="clear" w:fill="FFFFFF"/>
        <w:spacing w:before="420" w:beforeAutospacing="0" w:after="420" w:afterAutospacing="0" w:line="30" w:lineRule="atLeast"/>
        <w:ind w:left="150" w:right="150" w:firstLine="0"/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  <w:t>  </w:t>
      </w:r>
      <w:r>
        <w:rPr>
          <w:rStyle w:val="5"/>
          <w:rFonts w:hint="eastAsia" w:ascii="方正仿宋_GBK" w:hAnsi="方正仿宋_GBK" w:eastAsia="方正仿宋_GBK" w:cs="方正仿宋_GBK"/>
          <w:b/>
          <w:bCs/>
          <w:caps w:val="0"/>
          <w:color w:val="2B2B2B"/>
          <w:spacing w:val="0"/>
          <w:sz w:val="28"/>
          <w:szCs w:val="28"/>
          <w:shd w:val="clear" w:fill="FFFFFF"/>
        </w:rPr>
        <w:t>（五）坚持协调发展，促进城乡融合和区域联动。</w:t>
      </w:r>
      <w:r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  <w:t>统筹推进以县城为重要载体的城镇化建设和乡村全面振兴，优化县域基础设施布局和公共资源配置，合理补齐农村现代生活条件短板，培育壮大乡村特色产业，推动县域经济高质量发展。严守耕地红线，提高耕地质量，毫不放松抓好粮食生产，统筹生产、收储和进口政策，促进粮食等重要农产品价格保持在合理水平，促进农民稳定增收。持续巩固拓展脱贫攻坚成果，把常态化帮扶纳入乡村振兴战略统筹实施，守牢不发生规模性返贫致贫底线。</w:t>
      </w:r>
    </w:p>
    <w:p w14:paraId="40D23770">
      <w:pPr>
        <w:pStyle w:val="2"/>
        <w:keepNext w:val="0"/>
        <w:keepLines w:val="0"/>
        <w:widowControl/>
        <w:suppressLineNumbers w:val="0"/>
        <w:shd w:val="clear" w:fill="FFFFFF"/>
        <w:spacing w:before="420" w:beforeAutospacing="0" w:after="420" w:afterAutospacing="0" w:line="30" w:lineRule="atLeast"/>
        <w:ind w:left="150" w:right="150" w:firstLine="0"/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  <w:t>  各地区要准确把握在全国发展大局中的定位，强化主体功能，发挥比较优势。加强改革攻坚、政策赋能和要素保障，支持经济大省挑大梁。支持京津冀、长三角、粤港澳大湾区打造世界级城市群，持续提升综合竞争力。高标准高质量推进雄安新区建设。提升成渝地区双城经济圈发展能级。推动长江中游城市群等加快发展。加强重点城市群协调联动，健全规划统筹、产业协作、利益共享等机制，实施国家产业转移发展提升工程，深化跨行政区合作。加强主要海湾整体规划，推动海洋经济高质量发展。</w:t>
      </w:r>
    </w:p>
    <w:p w14:paraId="1B972C17">
      <w:pPr>
        <w:pStyle w:val="2"/>
        <w:keepNext w:val="0"/>
        <w:keepLines w:val="0"/>
        <w:widowControl/>
        <w:suppressLineNumbers w:val="0"/>
        <w:shd w:val="clear" w:fill="FFFFFF"/>
        <w:spacing w:before="420" w:beforeAutospacing="0" w:after="420" w:afterAutospacing="0" w:line="30" w:lineRule="atLeast"/>
        <w:ind w:left="150" w:right="150" w:firstLine="0"/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  <w:t>  </w:t>
      </w:r>
      <w:r>
        <w:rPr>
          <w:rStyle w:val="5"/>
          <w:rFonts w:hint="eastAsia" w:ascii="方正仿宋_GBK" w:hAnsi="方正仿宋_GBK" w:eastAsia="方正仿宋_GBK" w:cs="方正仿宋_GBK"/>
          <w:b/>
          <w:bCs/>
          <w:caps w:val="0"/>
          <w:color w:val="2B2B2B"/>
          <w:spacing w:val="0"/>
          <w:sz w:val="28"/>
          <w:szCs w:val="28"/>
          <w:shd w:val="clear" w:fill="FFFFFF"/>
        </w:rPr>
        <w:t>（六）坚持“双碳”引领，推动全面绿色转型。</w:t>
      </w:r>
      <w:r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  <w:t>协同推进降碳、减污、扩绿、增长，增强绿色发展动能。深入推进重点行业节能降碳改造，稳步推动煤炭和石油消费达峰。制定能源强国建设规划纲要，加快新型能源体系建设，推动新增用电主要由新能源发电满足。建设智能电网和微电网，扩大绿电应用，建设一批零碳园区、零碳工厂。加强全国碳排放权交易市场建设。研究设立国家低碳转型基金，培育氢能、绿色燃料等新增长点。实施固体废物综合治理行动，强化再生资源循环利用。深入打好蓝天、碧水、净土保卫战，强化新污染物治理。扎实推进“三北”工程攻坚战，加强重点湖泊治理，实施自然保护地整合优化。加强气象监测预报预警体系建设，加紧补齐北方地区防洪排涝抗灾基础设施短板，提高应对极端天气能力。</w:t>
      </w:r>
    </w:p>
    <w:p w14:paraId="2894274F">
      <w:pPr>
        <w:pStyle w:val="2"/>
        <w:keepNext w:val="0"/>
        <w:keepLines w:val="0"/>
        <w:widowControl/>
        <w:suppressLineNumbers w:val="0"/>
        <w:shd w:val="clear" w:fill="FFFFFF"/>
        <w:spacing w:before="420" w:beforeAutospacing="0" w:after="420" w:afterAutospacing="0" w:line="30" w:lineRule="atLeast"/>
        <w:ind w:left="150" w:right="150" w:firstLine="0"/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  <w:t>  </w:t>
      </w:r>
      <w:r>
        <w:rPr>
          <w:rStyle w:val="5"/>
          <w:rFonts w:hint="eastAsia" w:ascii="方正仿宋_GBK" w:hAnsi="方正仿宋_GBK" w:eastAsia="方正仿宋_GBK" w:cs="方正仿宋_GBK"/>
          <w:b/>
          <w:bCs/>
          <w:caps w:val="0"/>
          <w:color w:val="2B2B2B"/>
          <w:spacing w:val="0"/>
          <w:sz w:val="28"/>
          <w:szCs w:val="28"/>
          <w:shd w:val="clear" w:fill="FFFFFF"/>
        </w:rPr>
        <w:t>（七）坚持民生为大，努力为人民群众多办实事。</w:t>
      </w:r>
      <w:r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  <w:t>强化就业优先政策导向，实施稳岗扩容提质行动，着力稳定高校毕业生、农民工等重点群体就业。加强创业支持引导，开展职业技能提升培训。鼓励支持灵活就业人员、新就业形态人员参加职工保险。适应学龄人口结构变化，推进教育资源布局结构调整，增加普通高中学位供给和优质高校本科招生。优化药品集中采购，深化医保支付方式改革，完善结余留用政策，加强县区、基层医疗机构运行保障。实施康复护理扩容提升工程，推行长期护理保险制度。加强对独居老人、失能失智等困难群体的关爱帮扶。落实育儿补贴等支持政策，倡导积极婚育观，努力稳定新出生人口规模。扎实做好安全生产、防灾减灾救灾、食品药品安全等工作。加强社会心理疏导，推进基层矛盾排查化解。</w:t>
      </w:r>
    </w:p>
    <w:p w14:paraId="0399D62D">
      <w:pPr>
        <w:pStyle w:val="2"/>
        <w:keepNext w:val="0"/>
        <w:keepLines w:val="0"/>
        <w:widowControl/>
        <w:suppressLineNumbers w:val="0"/>
        <w:shd w:val="clear" w:fill="FFFFFF"/>
        <w:spacing w:before="420" w:beforeAutospacing="0" w:after="420" w:afterAutospacing="0" w:line="30" w:lineRule="atLeast"/>
        <w:ind w:left="150" w:right="150" w:firstLine="0"/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  <w:t>  </w:t>
      </w:r>
      <w:r>
        <w:rPr>
          <w:rStyle w:val="5"/>
          <w:rFonts w:hint="eastAsia" w:ascii="方正仿宋_GBK" w:hAnsi="方正仿宋_GBK" w:eastAsia="方正仿宋_GBK" w:cs="方正仿宋_GBK"/>
          <w:b/>
          <w:bCs/>
          <w:caps w:val="0"/>
          <w:color w:val="2B2B2B"/>
          <w:spacing w:val="0"/>
          <w:sz w:val="28"/>
          <w:szCs w:val="28"/>
          <w:shd w:val="clear" w:fill="FFFFFF"/>
        </w:rPr>
        <w:t>（八）坚持守牢底线，积极稳妥化解重点领域风险。</w:t>
      </w:r>
      <w:r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  <w:t>加强防风险和促发展政策协同，进一步增强发展韧性。着力稳定房地产市场，因城施策控增量、去库存、优供给，鼓励收购存量商品房重点用于保障性住房等。深化住房公积金制度改革，有序推动“好房子”建设。进一步发挥“保交房”的白名单制度作用，支持房地产企业合理融资需求，防范债务违约风险。加快构建房地产发展新模式。积极有序化解地方政府债务风险。督促各地主动化债。加大金融、财政支持力度，优化债务重组和置换办法，多措并举化解地方政府融资平台经营性债务风险。优化债务监测考核指标，构建统一的政府债务管理长效机制。稳妥推进地方中小金融机构风险化解，充实风险处置资源和手段。</w:t>
      </w:r>
    </w:p>
    <w:p w14:paraId="4D38A4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helvetic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277E1B"/>
    <w:rsid w:val="22277E1B"/>
    <w:rsid w:val="2E1A6430"/>
    <w:rsid w:val="3CC506E4"/>
    <w:rsid w:val="51D24B4A"/>
    <w:rsid w:val="5CE75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4289</Words>
  <Characters>4293</Characters>
  <Lines>0</Lines>
  <Paragraphs>0</Paragraphs>
  <TotalTime>19</TotalTime>
  <ScaleCrop>false</ScaleCrop>
  <LinksUpToDate>false</LinksUpToDate>
  <CharactersWithSpaces>4293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2025-10-13T06:56:00Z</dcterms:created>
  <dc:creator>WX</dc:creator>
  <cp:lastModifiedBy>哆啦美</cp:lastModifiedBy>
  <dcterms:modified xsi:type="dcterms:W3CDTF">2026-03-16T07:56:58Z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2251211544C844DDAE797BEA1EC86852_11</vt:lpwstr>
  </property>
  <property fmtid="{D5CDD505-2E9C-101B-9397-08002B2CF9AE}" pid="4" name="KSOTemplateDocerSaveRecord">
    <vt:lpwstr>eyJoZGlkIjoiNWU2NzBhNzIyY2NhODRkMzdhMzAxNGJiYzUzNTk4OTUiLCJ1c2VySWQiOiIzMTEwNDY2NzgifQ==</vt:lpwstr>
  </property>
</Properties>
</file>